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业务档案室升级改造项目</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项目</w:t>
      </w:r>
      <w:r>
        <w:rPr>
          <w:rFonts w:hint="eastAsia" w:ascii="方正小标宋简体" w:hAnsi="方正小标宋简体" w:eastAsia="方正小标宋简体" w:cs="方正小标宋简体"/>
          <w:kern w:val="0"/>
          <w:sz w:val="44"/>
          <w:szCs w:val="44"/>
        </w:rPr>
        <w:t>支出绩效评价报告</w:t>
      </w:r>
    </w:p>
    <w:p>
      <w:pPr>
        <w:pStyle w:val="2"/>
        <w:rPr>
          <w:rFonts w:hint="eastAsia" w:ascii="方正小标宋简体" w:hAnsi="方正小标宋简体" w:eastAsia="方正小标宋简体" w:cs="方正小标宋简体"/>
          <w:kern w:val="0"/>
          <w:sz w:val="44"/>
          <w:szCs w:val="44"/>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4"/>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项目名称：业务档案室升级改造项目</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default" w:ascii="Times New Roman" w:hAnsi="Times New Roman" w:eastAsia="仿宋_GB2312" w:cs="Times New Roman"/>
          <w:kern w:val="0"/>
          <w:sz w:val="36"/>
          <w:szCs w:val="36"/>
          <w:lang w:val="en-US" w:eastAsia="zh-CN"/>
        </w:rPr>
        <w:t>塔城地区无线电管理局</w:t>
      </w:r>
    </w:p>
    <w:p>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毛开军</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default" w:ascii="Times New Roman" w:hAnsi="Times New Roman"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default" w:ascii="Times New Roman" w:hAnsi="Times New Roman"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default" w:ascii="Times New Roman" w:hAnsi="Times New Roman" w:eastAsia="仿宋_GB2312" w:cs="Times New Roman"/>
          <w:kern w:val="0"/>
          <w:sz w:val="36"/>
          <w:szCs w:val="36"/>
          <w:lang w:val="en-US" w:eastAsia="zh-CN"/>
        </w:rPr>
        <w:t>13</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40" w:lineRule="exact"/>
        <w:rPr>
          <w:rStyle w:val="16"/>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14"/>
        <w:numPr>
          <w:ilvl w:val="0"/>
          <w:numId w:val="0"/>
        </w:numPr>
        <w:spacing w:before="0" w:after="0" w:line="560" w:lineRule="exact"/>
        <w:ind w:firstLine="624" w:firstLineChars="200"/>
        <w:jc w:val="both"/>
        <w:rPr>
          <w:rStyle w:val="16"/>
          <w:rFonts w:hint="default" w:ascii="Times New Roman" w:hAnsi="Times New Roman" w:eastAsia="黑体" w:cs="Times New Roman"/>
          <w:b w:val="0"/>
          <w:bCs/>
          <w:spacing w:val="-4"/>
          <w:sz w:val="32"/>
          <w:szCs w:val="32"/>
          <w:highlight w:val="none"/>
        </w:rPr>
      </w:pPr>
      <w:r>
        <w:rPr>
          <w:rStyle w:val="16"/>
          <w:rFonts w:hint="eastAsia" w:ascii="仿宋_GB2312" w:hAnsi="仿宋_GB2312" w:eastAsia="仿宋_GB2312" w:cs="仿宋_GB2312"/>
          <w:b w:val="0"/>
          <w:bCs/>
          <w:spacing w:val="-4"/>
          <w:sz w:val="32"/>
          <w:szCs w:val="32"/>
          <w:highlight w:val="none"/>
        </w:rPr>
        <w:t>塔城地区无线电管理局业务楼建设于2005年，建设年限较长，现有档案资料室已无法满足日益增长的业务需求。为加强无线电管理档案资料科学、系统、规范化管理，有效保护和利用各类档案资料，为无线电业务、技术工作开展夯实基础，推动无线电管理工作再上新台阶，现需申请对业务楼档案资料室进行升级改造。改造项目包括：密集架</w:t>
      </w:r>
      <w:r>
        <w:rPr>
          <w:rStyle w:val="16"/>
          <w:rFonts w:hint="eastAsia" w:ascii="仿宋_GB2312" w:hAnsi="仿宋_GB2312" w:eastAsia="仿宋_GB2312" w:cs="仿宋_GB2312"/>
          <w:b w:val="0"/>
          <w:bCs/>
          <w:spacing w:val="-4"/>
          <w:sz w:val="32"/>
          <w:szCs w:val="32"/>
          <w:highlight w:val="none"/>
          <w:lang w:val="en-US" w:eastAsia="zh-CN"/>
        </w:rPr>
        <w:t>购置</w:t>
      </w:r>
      <w:r>
        <w:rPr>
          <w:rStyle w:val="16"/>
          <w:rFonts w:hint="eastAsia" w:ascii="仿宋_GB2312" w:hAnsi="仿宋_GB2312" w:eastAsia="仿宋_GB2312" w:cs="仿宋_GB2312"/>
          <w:b w:val="0"/>
          <w:bCs/>
          <w:spacing w:val="-4"/>
          <w:sz w:val="32"/>
          <w:szCs w:val="32"/>
          <w:highlight w:val="none"/>
        </w:rPr>
        <w:t>、硬件改造、电路改造</w:t>
      </w:r>
      <w:r>
        <w:rPr>
          <w:rStyle w:val="16"/>
          <w:rFonts w:hint="eastAsia" w:ascii="仿宋_GB2312" w:hAnsi="仿宋_GB2312" w:eastAsia="仿宋_GB2312" w:cs="仿宋_GB2312"/>
          <w:b w:val="0"/>
          <w:bCs/>
          <w:spacing w:val="-4"/>
          <w:sz w:val="32"/>
          <w:szCs w:val="32"/>
          <w:highlight w:val="none"/>
          <w:lang w:val="en-US" w:eastAsia="zh-CN"/>
        </w:rPr>
        <w:t>及</w:t>
      </w:r>
      <w:r>
        <w:rPr>
          <w:rStyle w:val="16"/>
          <w:rFonts w:hint="eastAsia" w:ascii="仿宋_GB2312" w:hAnsi="仿宋_GB2312" w:eastAsia="仿宋_GB2312" w:cs="仿宋_GB2312"/>
          <w:b w:val="0"/>
          <w:bCs/>
          <w:spacing w:val="-4"/>
          <w:sz w:val="32"/>
          <w:szCs w:val="32"/>
          <w:highlight w:val="none"/>
        </w:rPr>
        <w:t>其他改造费用。</w:t>
      </w:r>
    </w:p>
    <w:p>
      <w:pPr>
        <w:pStyle w:val="14"/>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keepNext w:val="0"/>
        <w:keepLines w:val="0"/>
        <w:pageBreakBefore w:val="0"/>
        <w:kinsoku/>
        <w:wordWrap/>
        <w:overflowPunct/>
        <w:topLinePunct w:val="0"/>
        <w:autoSpaceDE/>
        <w:autoSpaceDN/>
        <w:bidi w:val="0"/>
        <w:spacing w:line="560" w:lineRule="exact"/>
        <w:ind w:firstLine="600" w:firstLineChars="200"/>
        <w:textAlignment w:val="auto"/>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Times New Roman" w:hAnsi="Times New Roman" w:eastAsia="仿宋_GB2312" w:cs="Times New Roman"/>
          <w:b w:val="0"/>
          <w:bCs w:val="0"/>
          <w:color w:val="auto"/>
          <w:sz w:val="32"/>
          <w:szCs w:val="32"/>
          <w:lang w:val="en-US" w:eastAsia="zh-CN"/>
        </w:rPr>
        <w:t>对单位现有</w:t>
      </w:r>
      <w:r>
        <w:rPr>
          <w:rFonts w:hint="default" w:ascii="Times New Roman" w:hAnsi="Times New Roman" w:eastAsia="仿宋_GB2312" w:cs="Times New Roman"/>
          <w:b w:val="0"/>
          <w:bCs w:val="0"/>
          <w:color w:val="auto"/>
          <w:sz w:val="32"/>
          <w:szCs w:val="32"/>
          <w:lang w:val="en-US" w:eastAsia="zh-CN"/>
        </w:rPr>
        <w:t>业务档案室</w:t>
      </w:r>
      <w:r>
        <w:rPr>
          <w:rFonts w:hint="eastAsia" w:ascii="Times New Roman" w:hAnsi="Times New Roman" w:eastAsia="仿宋_GB2312" w:cs="Times New Roman"/>
          <w:b w:val="0"/>
          <w:bCs w:val="0"/>
          <w:color w:val="auto"/>
          <w:sz w:val="32"/>
          <w:szCs w:val="32"/>
          <w:lang w:val="en-US" w:eastAsia="zh-CN"/>
        </w:rPr>
        <w:t>进行</w:t>
      </w:r>
      <w:r>
        <w:rPr>
          <w:rFonts w:hint="default" w:ascii="Times New Roman" w:hAnsi="Times New Roman" w:eastAsia="仿宋_GB2312" w:cs="Times New Roman"/>
          <w:b w:val="0"/>
          <w:bCs w:val="0"/>
          <w:color w:val="auto"/>
          <w:sz w:val="32"/>
          <w:szCs w:val="32"/>
          <w:lang w:val="en-US" w:eastAsia="zh-CN"/>
        </w:rPr>
        <w:t>升级改造</w:t>
      </w:r>
    </w:p>
    <w:p>
      <w:pPr>
        <w:spacing w:line="560" w:lineRule="exact"/>
        <w:ind w:firstLine="60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0"/>
          <w:szCs w:val="30"/>
          <w:highlight w:val="none"/>
          <w:lang w:val="en-US" w:eastAsia="zh-CN"/>
        </w:rPr>
        <w:t>已完成我局业务档案</w:t>
      </w:r>
      <w:r>
        <w:rPr>
          <w:rFonts w:hint="eastAsia" w:eastAsia="仿宋_GB2312" w:cs="Times New Roman"/>
          <w:sz w:val="30"/>
          <w:szCs w:val="30"/>
          <w:highlight w:val="none"/>
          <w:lang w:val="en-US" w:eastAsia="zh-CN"/>
        </w:rPr>
        <w:t>室的升级改造，相关配套设施已购置，防盗门、指纹锁、密集架均已达到可使用状态，有效加强我局无线电档案资料科学、系统、规范化管理，有效保护和利用各类档案资料，为无线电业务、技术工作开展夯实基础，推动无线电管理工作再上新台阶。</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16.27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90.39</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b w:val="0"/>
          <w:bCs w:val="0"/>
          <w:color w:val="auto"/>
          <w:sz w:val="32"/>
          <w:szCs w:val="32"/>
          <w:lang w:val="en-US" w:eastAsia="zh-CN"/>
        </w:rPr>
        <w:t>对单位现有</w:t>
      </w:r>
      <w:r>
        <w:rPr>
          <w:rFonts w:hint="default" w:ascii="Times New Roman" w:hAnsi="Times New Roman" w:eastAsia="仿宋_GB2312" w:cs="Times New Roman"/>
          <w:b w:val="0"/>
          <w:bCs w:val="0"/>
          <w:color w:val="auto"/>
          <w:sz w:val="32"/>
          <w:szCs w:val="32"/>
          <w:lang w:val="en-US" w:eastAsia="zh-CN"/>
        </w:rPr>
        <w:t>业务档案室</w:t>
      </w:r>
      <w:r>
        <w:rPr>
          <w:rFonts w:hint="eastAsia" w:ascii="Times New Roman" w:hAnsi="Times New Roman" w:eastAsia="仿宋_GB2312" w:cs="Times New Roman"/>
          <w:b w:val="0"/>
          <w:bCs w:val="0"/>
          <w:color w:val="auto"/>
          <w:sz w:val="32"/>
          <w:szCs w:val="32"/>
          <w:lang w:val="en-US" w:eastAsia="zh-CN"/>
        </w:rPr>
        <w:t>进行</w:t>
      </w:r>
      <w:r>
        <w:rPr>
          <w:rFonts w:hint="default" w:ascii="Times New Roman" w:hAnsi="Times New Roman" w:eastAsia="仿宋_GB2312" w:cs="Times New Roman"/>
          <w:b w:val="0"/>
          <w:bCs w:val="0"/>
          <w:color w:val="auto"/>
          <w:sz w:val="32"/>
          <w:szCs w:val="32"/>
          <w:lang w:val="en-US" w:eastAsia="zh-CN"/>
        </w:rPr>
        <w:t>升级改造</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color w:val="333333"/>
          <w:sz w:val="32"/>
          <w:szCs w:val="32"/>
          <w:highlight w:val="none"/>
          <w:lang w:bidi="ar"/>
        </w:rPr>
      </w:pPr>
      <w:r>
        <w:rPr>
          <w:rFonts w:hint="eastAsia" w:ascii="仿宋_GB2312" w:hAnsi="仿宋" w:eastAsia="仿宋_GB2312" w:cs="宋体"/>
          <w:color w:val="333333"/>
          <w:sz w:val="32"/>
          <w:szCs w:val="32"/>
          <w:highlight w:val="none"/>
          <w:lang w:bidi="ar"/>
        </w:rPr>
        <w:t>塔城地区无线电管理局业务楼建设于2005年，建设年限较长，现有资源无法满足日益增长的业务需求。为有效利用有限资源</w:t>
      </w:r>
      <w:r>
        <w:rPr>
          <w:rFonts w:hint="eastAsia" w:ascii="仿宋_GB2312" w:hAnsi="仿宋" w:eastAsia="仿宋_GB2312" w:cs="宋体"/>
          <w:color w:val="333333"/>
          <w:sz w:val="32"/>
          <w:szCs w:val="32"/>
          <w:highlight w:val="none"/>
          <w:lang w:eastAsia="zh-CN" w:bidi="ar"/>
        </w:rPr>
        <w:t>，</w:t>
      </w:r>
      <w:r>
        <w:rPr>
          <w:rFonts w:hint="eastAsia" w:ascii="仿宋_GB2312" w:hAnsi="仿宋" w:eastAsia="仿宋_GB2312" w:cs="宋体"/>
          <w:color w:val="333333"/>
          <w:sz w:val="32"/>
          <w:szCs w:val="32"/>
          <w:highlight w:val="none"/>
          <w:lang w:bidi="ar"/>
        </w:rPr>
        <w:t>更好</w:t>
      </w:r>
      <w:r>
        <w:rPr>
          <w:rFonts w:hint="eastAsia" w:ascii="仿宋_GB2312" w:hAnsi="仿宋" w:eastAsia="仿宋_GB2312" w:cs="宋体"/>
          <w:color w:val="333333"/>
          <w:sz w:val="32"/>
          <w:szCs w:val="32"/>
          <w:highlight w:val="none"/>
          <w:lang w:val="en-US" w:eastAsia="zh-CN" w:bidi="ar"/>
        </w:rPr>
        <w:t>地</w:t>
      </w:r>
      <w:r>
        <w:rPr>
          <w:rFonts w:hint="eastAsia" w:ascii="仿宋_GB2312" w:hAnsi="仿宋" w:eastAsia="仿宋_GB2312" w:cs="宋体"/>
          <w:color w:val="333333"/>
          <w:sz w:val="32"/>
          <w:szCs w:val="32"/>
          <w:highlight w:val="none"/>
          <w:lang w:bidi="ar"/>
        </w:rPr>
        <w:t>推动无线电业务工作。随着日益增长地专业设备资料档案、台站资料档案、日常监测资料档案、边境电磁环境测试数据等大量资料产生，现有的档案室及两组档案架已远远无法满足日益增加的资料存放需求</w:t>
      </w:r>
      <w:r>
        <w:rPr>
          <w:rFonts w:hint="eastAsia" w:ascii="仿宋_GB2312" w:hAnsi="仿宋" w:eastAsia="仿宋_GB2312" w:cs="宋体"/>
          <w:color w:val="333333"/>
          <w:sz w:val="32"/>
          <w:szCs w:val="32"/>
          <w:highlight w:val="none"/>
          <w:lang w:eastAsia="zh-CN" w:bidi="ar"/>
        </w:rPr>
        <w:t>，</w:t>
      </w:r>
      <w:r>
        <w:rPr>
          <w:rFonts w:hint="eastAsia" w:ascii="仿宋_GB2312" w:hAnsi="仿宋" w:eastAsia="仿宋_GB2312" w:cs="宋体"/>
          <w:color w:val="333333"/>
          <w:sz w:val="32"/>
          <w:szCs w:val="32"/>
          <w:highlight w:val="none"/>
          <w:lang w:bidi="ar"/>
        </w:rPr>
        <w:t>现需升级改造业务档案室。</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color w:val="333333"/>
          <w:sz w:val="32"/>
          <w:szCs w:val="32"/>
          <w:highlight w:val="none"/>
          <w:lang w:bidi="ar"/>
        </w:rPr>
      </w:pPr>
      <w:r>
        <w:rPr>
          <w:rFonts w:hint="default" w:ascii="仿宋_GB2312" w:hAnsi="仿宋" w:eastAsia="仿宋_GB2312" w:cs="宋体"/>
          <w:color w:val="333333"/>
          <w:sz w:val="32"/>
          <w:szCs w:val="32"/>
          <w:highlight w:val="none"/>
          <w:lang w:bidi="ar"/>
        </w:rPr>
        <w:t>项目</w:t>
      </w:r>
      <w:r>
        <w:rPr>
          <w:rFonts w:hint="default" w:ascii="仿宋_GB2312" w:hAnsi="仿宋" w:eastAsia="仿宋_GB2312" w:cs="宋体"/>
          <w:color w:val="333333"/>
          <w:sz w:val="32"/>
          <w:szCs w:val="32"/>
          <w:highlight w:val="none"/>
          <w:lang w:val="en-US" w:eastAsia="zh-CN" w:bidi="ar"/>
        </w:rPr>
        <w:t>筹备</w:t>
      </w:r>
      <w:r>
        <w:rPr>
          <w:rFonts w:hint="default" w:ascii="仿宋_GB2312" w:hAnsi="仿宋" w:eastAsia="仿宋_GB2312" w:cs="宋体"/>
          <w:color w:val="333333"/>
          <w:sz w:val="32"/>
          <w:szCs w:val="32"/>
          <w:highlight w:val="none"/>
          <w:lang w:bidi="ar"/>
        </w:rPr>
        <w:t>阶段：</w:t>
      </w:r>
      <w:r>
        <w:rPr>
          <w:rFonts w:hint="eastAsia" w:ascii="仿宋_GB2312" w:hAnsi="仿宋" w:eastAsia="仿宋_GB2312" w:cs="宋体"/>
          <w:color w:val="333333"/>
          <w:sz w:val="32"/>
          <w:szCs w:val="32"/>
          <w:highlight w:val="none"/>
          <w:lang w:val="en-US" w:eastAsia="zh-CN" w:bidi="ar"/>
        </w:rPr>
        <w:t>成立项目执行小组，小组成员涵盖财务人员、档案管理员、项目负责人等。项目小组全面梳理业务档案室升级改造工作流程，制定了详细且具有可操作性的工作计划，明确各阶段任务及时间节点。同步完成政府采购意向公开，确保信息发布及时、准确、透明，符合相关法律法规要求。积极着手准备政府采购计划申报材料，对项目需求、预算明细、技术规格等进行详细规划，为后续选定优质服务供应商奠定坚实基础。</w:t>
      </w:r>
    </w:p>
    <w:p>
      <w:pPr>
        <w:spacing w:line="560" w:lineRule="exact"/>
        <w:ind w:firstLine="640" w:firstLineChars="200"/>
        <w:rPr>
          <w:rFonts w:hint="default" w:ascii="仿宋_GB2312" w:hAnsi="仿宋" w:eastAsia="仿宋_GB2312" w:cs="宋体"/>
          <w:color w:val="333333"/>
          <w:sz w:val="32"/>
          <w:szCs w:val="32"/>
          <w:highlight w:val="none"/>
          <w:lang w:val="en-US" w:eastAsia="zh-CN" w:bidi="ar"/>
        </w:rPr>
      </w:pPr>
      <w:r>
        <w:rPr>
          <w:rFonts w:hint="eastAsia" w:ascii="仿宋_GB2312" w:hAnsi="仿宋" w:eastAsia="仿宋_GB2312" w:cs="宋体"/>
          <w:color w:val="333333"/>
          <w:sz w:val="32"/>
          <w:szCs w:val="32"/>
          <w:highlight w:val="none"/>
          <w:lang w:val="en-US" w:eastAsia="zh-CN" w:bidi="ar"/>
        </w:rPr>
        <w:t>服务供应商</w:t>
      </w:r>
      <w:r>
        <w:rPr>
          <w:rFonts w:hint="default" w:ascii="仿宋_GB2312" w:hAnsi="仿宋" w:eastAsia="仿宋_GB2312" w:cs="宋体"/>
          <w:color w:val="333333"/>
          <w:sz w:val="32"/>
          <w:szCs w:val="32"/>
          <w:highlight w:val="none"/>
          <w:lang w:val="en-US" w:eastAsia="zh-CN" w:bidi="ar"/>
        </w:rPr>
        <w:t>选定阶段：严格依照政府采购流程完成计划申报，</w:t>
      </w:r>
      <w:r>
        <w:rPr>
          <w:rFonts w:hint="eastAsia" w:ascii="仿宋_GB2312" w:hAnsi="仿宋" w:eastAsia="仿宋_GB2312" w:cs="宋体"/>
          <w:color w:val="333333"/>
          <w:sz w:val="32"/>
          <w:szCs w:val="32"/>
          <w:highlight w:val="none"/>
          <w:lang w:val="en-US" w:eastAsia="zh-CN" w:bidi="ar"/>
        </w:rPr>
        <w:t>在政采云平台发布竞价公告</w:t>
      </w:r>
      <w:r>
        <w:rPr>
          <w:rFonts w:hint="default" w:ascii="仿宋_GB2312" w:hAnsi="仿宋" w:eastAsia="仿宋_GB2312" w:cs="宋体"/>
          <w:color w:val="333333"/>
          <w:sz w:val="32"/>
          <w:szCs w:val="32"/>
          <w:highlight w:val="none"/>
          <w:lang w:val="en-US" w:eastAsia="zh-CN" w:bidi="ar"/>
        </w:rPr>
        <w:t>。在供应商筛选过程中，重点考察入围机构的资质，包括其在档案管理硬件设施安装维护等方面的专业资质；深入了解项目经验，如过往类似档案室升级改造项目的实施案例及成果；仔细评估项目方案，涵盖技术方案的先进性、可行性，项目实施计划的合理性以及售后服务的完善程度。经过</w:t>
      </w:r>
      <w:r>
        <w:rPr>
          <w:rFonts w:hint="eastAsia" w:ascii="仿宋_GB2312" w:hAnsi="仿宋" w:eastAsia="仿宋_GB2312" w:cs="宋体"/>
          <w:color w:val="333333"/>
          <w:sz w:val="32"/>
          <w:szCs w:val="32"/>
          <w:highlight w:val="none"/>
          <w:lang w:val="en-US" w:eastAsia="zh-CN" w:bidi="ar"/>
        </w:rPr>
        <w:t>多方考证</w:t>
      </w:r>
      <w:r>
        <w:rPr>
          <w:rFonts w:hint="default" w:ascii="仿宋_GB2312" w:hAnsi="仿宋" w:eastAsia="仿宋_GB2312" w:cs="宋体"/>
          <w:color w:val="333333"/>
          <w:sz w:val="32"/>
          <w:szCs w:val="32"/>
          <w:highlight w:val="none"/>
          <w:lang w:val="en-US" w:eastAsia="zh-CN" w:bidi="ar"/>
        </w:rPr>
        <w:t>，选定乌鲁木齐市米东区奈蒂斯办公家具经销部作为</w:t>
      </w:r>
      <w:r>
        <w:rPr>
          <w:rFonts w:hint="eastAsia" w:ascii="仿宋_GB2312" w:hAnsi="仿宋" w:eastAsia="仿宋_GB2312" w:cs="宋体"/>
          <w:color w:val="333333"/>
          <w:sz w:val="32"/>
          <w:szCs w:val="32"/>
          <w:highlight w:val="none"/>
          <w:lang w:val="en-US" w:eastAsia="zh-CN" w:bidi="ar"/>
        </w:rPr>
        <w:t>防盗门、指纹锁的供应商；</w:t>
      </w:r>
      <w:r>
        <w:rPr>
          <w:rFonts w:hint="default" w:ascii="仿宋_GB2312" w:hAnsi="仿宋" w:eastAsia="仿宋_GB2312" w:cs="宋体"/>
          <w:color w:val="333333"/>
          <w:sz w:val="32"/>
          <w:szCs w:val="32"/>
          <w:highlight w:val="none"/>
          <w:lang w:val="en-US" w:eastAsia="zh-CN" w:bidi="ar"/>
        </w:rPr>
        <w:t>选定新疆鼎昆建筑工程机械有限公司作为</w:t>
      </w:r>
      <w:r>
        <w:rPr>
          <w:rFonts w:hint="eastAsia" w:ascii="仿宋_GB2312" w:hAnsi="仿宋" w:eastAsia="仿宋_GB2312" w:cs="宋体"/>
          <w:color w:val="333333"/>
          <w:sz w:val="32"/>
          <w:szCs w:val="32"/>
          <w:highlight w:val="none"/>
          <w:lang w:val="en-US" w:eastAsia="zh-CN" w:bidi="ar"/>
        </w:rPr>
        <w:t>密集架的供应商；</w:t>
      </w:r>
      <w:r>
        <w:rPr>
          <w:rFonts w:hint="default" w:ascii="仿宋_GB2312" w:hAnsi="仿宋" w:eastAsia="仿宋_GB2312" w:cs="宋体"/>
          <w:color w:val="333333"/>
          <w:sz w:val="32"/>
          <w:szCs w:val="32"/>
          <w:highlight w:val="none"/>
          <w:lang w:val="en-US" w:eastAsia="zh-CN" w:bidi="ar"/>
        </w:rPr>
        <w:t>选定新疆罗巴鲁通讯科技工程有限公司作为</w:t>
      </w:r>
      <w:r>
        <w:rPr>
          <w:rFonts w:hint="eastAsia" w:ascii="仿宋_GB2312" w:hAnsi="仿宋" w:eastAsia="仿宋_GB2312" w:cs="宋体"/>
          <w:color w:val="333333"/>
          <w:sz w:val="32"/>
          <w:szCs w:val="32"/>
          <w:highlight w:val="none"/>
          <w:lang w:val="en-US" w:eastAsia="zh-CN" w:bidi="ar"/>
        </w:rPr>
        <w:t>档案室改造的供应商，</w:t>
      </w:r>
      <w:r>
        <w:rPr>
          <w:rFonts w:hint="default" w:ascii="仿宋_GB2312" w:hAnsi="仿宋" w:eastAsia="仿宋_GB2312" w:cs="宋体"/>
          <w:color w:val="333333"/>
          <w:sz w:val="32"/>
          <w:szCs w:val="32"/>
          <w:highlight w:val="none"/>
          <w:lang w:val="en-US" w:eastAsia="zh-CN" w:bidi="ar"/>
        </w:rPr>
        <w:t>并顺利完成合同签订。合同中明确双方权利义务，对项目要求，如</w:t>
      </w:r>
      <w:r>
        <w:rPr>
          <w:rFonts w:hint="eastAsia" w:ascii="仿宋_GB2312" w:hAnsi="仿宋" w:eastAsia="仿宋_GB2312" w:cs="宋体"/>
          <w:color w:val="333333"/>
          <w:sz w:val="32"/>
          <w:szCs w:val="32"/>
          <w:highlight w:val="none"/>
          <w:lang w:val="en-US" w:eastAsia="zh-CN" w:bidi="ar"/>
        </w:rPr>
        <w:t>密集架、防盗门、指纹锁的</w:t>
      </w:r>
      <w:r>
        <w:rPr>
          <w:rFonts w:hint="default" w:ascii="仿宋_GB2312" w:hAnsi="仿宋" w:eastAsia="仿宋_GB2312" w:cs="宋体"/>
          <w:color w:val="333333"/>
          <w:sz w:val="32"/>
          <w:szCs w:val="32"/>
          <w:highlight w:val="none"/>
          <w:lang w:val="en-US" w:eastAsia="zh-CN" w:bidi="ar"/>
        </w:rPr>
        <w:t>设施配置标准等，以及项目</w:t>
      </w:r>
      <w:r>
        <w:rPr>
          <w:rFonts w:hint="eastAsia" w:ascii="仿宋_GB2312" w:hAnsi="仿宋" w:eastAsia="仿宋_GB2312" w:cs="宋体"/>
          <w:color w:val="333333"/>
          <w:sz w:val="32"/>
          <w:szCs w:val="32"/>
          <w:highlight w:val="none"/>
          <w:lang w:val="en-US" w:eastAsia="zh-CN" w:bidi="ar"/>
        </w:rPr>
        <w:t>完成</w:t>
      </w:r>
      <w:r>
        <w:rPr>
          <w:rFonts w:hint="default" w:ascii="仿宋_GB2312" w:hAnsi="仿宋" w:eastAsia="仿宋_GB2312" w:cs="宋体"/>
          <w:color w:val="333333"/>
          <w:sz w:val="32"/>
          <w:szCs w:val="32"/>
          <w:highlight w:val="none"/>
          <w:lang w:val="en-US" w:eastAsia="zh-CN" w:bidi="ar"/>
        </w:rPr>
        <w:t>关键时间节点，如</w:t>
      </w:r>
      <w:r>
        <w:rPr>
          <w:rFonts w:hint="eastAsia" w:ascii="仿宋_GB2312" w:hAnsi="仿宋" w:eastAsia="仿宋_GB2312" w:cs="宋体"/>
          <w:color w:val="333333"/>
          <w:sz w:val="32"/>
          <w:szCs w:val="32"/>
          <w:highlight w:val="none"/>
          <w:lang w:val="en-US" w:eastAsia="zh-CN" w:bidi="ar"/>
        </w:rPr>
        <w:t>档案室改造周期、密集架等固定资产</w:t>
      </w:r>
      <w:r>
        <w:rPr>
          <w:rFonts w:hint="default" w:ascii="仿宋_GB2312" w:hAnsi="仿宋" w:eastAsia="仿宋_GB2312" w:cs="宋体"/>
          <w:color w:val="333333"/>
          <w:sz w:val="32"/>
          <w:szCs w:val="32"/>
          <w:highlight w:val="none"/>
          <w:lang w:val="en-US" w:eastAsia="zh-CN" w:bidi="ar"/>
        </w:rPr>
        <w:t>安装调试时间等均作出清晰界定。</w:t>
      </w:r>
    </w:p>
    <w:p>
      <w:pPr>
        <w:spacing w:line="560" w:lineRule="exact"/>
        <w:ind w:firstLine="640" w:firstLineChars="200"/>
        <w:rPr>
          <w:rFonts w:hint="eastAsia" w:ascii="仿宋_GB2312" w:hAnsi="仿宋" w:eastAsia="仿宋_GB2312" w:cs="宋体"/>
          <w:color w:val="333333"/>
          <w:sz w:val="32"/>
          <w:szCs w:val="32"/>
          <w:highlight w:val="none"/>
          <w:lang w:val="en-US" w:eastAsia="zh-CN" w:bidi="ar"/>
        </w:rPr>
      </w:pPr>
      <w:r>
        <w:rPr>
          <w:rFonts w:hint="default" w:ascii="Times New Roman" w:hAnsi="Times New Roman" w:eastAsia="仿宋_GB2312" w:cs="Times New Roman"/>
          <w:sz w:val="32"/>
          <w:szCs w:val="32"/>
          <w:highlight w:val="none"/>
          <w:lang w:val="en-US" w:eastAsia="zh-CN"/>
        </w:rPr>
        <w:t>项目执行阶段：</w:t>
      </w:r>
      <w:r>
        <w:rPr>
          <w:rFonts w:hint="eastAsia" w:ascii="仿宋_GB2312" w:hAnsi="仿宋" w:eastAsia="仿宋_GB2312" w:cs="宋体"/>
          <w:color w:val="333333"/>
          <w:sz w:val="32"/>
          <w:szCs w:val="32"/>
          <w:highlight w:val="none"/>
          <w:lang w:val="en-US" w:eastAsia="zh-CN" w:bidi="ar"/>
        </w:rPr>
        <w:t>服务供应商按合同约定正式入驻单位开展工作。对业务档案室现有状况进行全面摸底调研，包括档案存储设备、空间布局等。依据调研结果，开展硬件设施升级工作，如更换符合档案存储标准的密集架，安装防盗门、指纹锁等，确保档案室环境满足档案长期安全保存要求。</w:t>
      </w:r>
    </w:p>
    <w:p>
      <w:pPr>
        <w:spacing w:line="560" w:lineRule="exact"/>
        <w:ind w:firstLine="640" w:firstLineChars="20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项目收尾阶段：服务供应商依据既定工作流程与质量标准，全面完成业务档案室升级改造工作</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其中</w:t>
      </w:r>
      <w:bookmarkStart w:id="3" w:name="_GoBack"/>
      <w:bookmarkEnd w:id="3"/>
      <w:r>
        <w:rPr>
          <w:rFonts w:hint="default" w:ascii="Times New Roman" w:hAnsi="Times New Roman" w:eastAsia="仿宋_GB2312" w:cs="Times New Roman"/>
          <w:kern w:val="2"/>
          <w:sz w:val="32"/>
          <w:szCs w:val="32"/>
          <w:highlight w:val="none"/>
          <w:lang w:val="en-US" w:eastAsia="zh-CN" w:bidi="ar-SA"/>
        </w:rPr>
        <w:t>详细罗列了新更换的符合档案存储规范的密集架，从型号、规格到承载能力均有精确说明；对全新安装的防盗门，在材质、安全等级以及防盗性能等方面进行细致阐述；还特别介绍了具备高精准识别功能的指纹锁。这些数据准确可靠，为单位后续档案管理工作提供了坚实有力的依据。项目执行成员，针对项目成果开展多轮严谨细致的复核工作。小组成员通过实地查看密集架的稳固性、布局合理性，检查防盗门的开合顺畅度、密封效果，测试指纹锁的识别精准度、响应速度等方式，全方位确认硬件设施的运行状况良好。经审核通过后，正式确定项目成果，成功实现提升业务档案室管理水平的目标，为单位业务开展打造更安全、高效的档案服务环境，有力地夯实了单位后续档案管理工作高质量发展的根基。</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指标，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w:t>
      </w:r>
      <w:r>
        <w:rPr>
          <w:rFonts w:hint="default" w:ascii="Times New Roman" w:hAnsi="Times New Roman" w:eastAsia="仿宋_GB2312" w:cs="Times New Roman"/>
          <w:sz w:val="32"/>
          <w:szCs w:val="32"/>
          <w:highlight w:val="none"/>
          <w:lang w:val="en-US" w:eastAsia="zh-CN"/>
        </w:rPr>
        <w:t>程监控与质量把控，形成项目绩效持续改进的良性循环，不断提升项目整体绩效水平，实现项目长期稳定发展的目标。</w:t>
      </w:r>
    </w:p>
    <w:p>
      <w:pPr>
        <w:spacing w:line="56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本项目预算绩效评价报告的编制以提升项目绩效为核心，旨在通过科学、严谨的评价工作，为项目管理与决策提供全方位、深层次的支持</w:t>
      </w:r>
      <w:r>
        <w:rPr>
          <w:rFonts w:hint="default" w:ascii="Times New Roman" w:hAnsi="Times New Roman" w:eastAsia="仿宋_GB2312" w:cs="Times New Roman"/>
          <w:sz w:val="32"/>
          <w:szCs w:val="32"/>
          <w:highlight w:val="none"/>
        </w:rPr>
        <w:t>，推动项目在预算约束下实现高质量、可持续发展，充分发挥财政资金的经济效益与社会效益。</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highlight w:val="none"/>
        </w:rPr>
        <w:t>本项目预算绩效评价报告的评价对象是业务档案室升级改造项目及其预算执行情况。该项目由塔城地区无线电管理局负责实施，旨在</w:t>
      </w:r>
      <w:r>
        <w:rPr>
          <w:rFonts w:hint="eastAsia" w:ascii="Times New Roman" w:hAnsi="Times New Roman" w:eastAsia="仿宋_GB2312" w:cs="Times New Roman"/>
          <w:b w:val="0"/>
          <w:bCs w:val="0"/>
          <w:color w:val="auto"/>
          <w:sz w:val="32"/>
          <w:szCs w:val="32"/>
          <w:lang w:val="en-US" w:eastAsia="zh-CN"/>
        </w:rPr>
        <w:t>对单位现有</w:t>
      </w:r>
      <w:r>
        <w:rPr>
          <w:rFonts w:hint="default" w:ascii="Times New Roman" w:hAnsi="Times New Roman" w:eastAsia="仿宋_GB2312" w:cs="Times New Roman"/>
          <w:b w:val="0"/>
          <w:bCs w:val="0"/>
          <w:color w:val="auto"/>
          <w:sz w:val="32"/>
          <w:szCs w:val="32"/>
          <w:lang w:val="en-US" w:eastAsia="zh-CN"/>
        </w:rPr>
        <w:t>业务档案室</w:t>
      </w:r>
      <w:r>
        <w:rPr>
          <w:rFonts w:hint="eastAsia" w:ascii="Times New Roman" w:hAnsi="Times New Roman" w:eastAsia="仿宋_GB2312" w:cs="Times New Roman"/>
          <w:b w:val="0"/>
          <w:bCs w:val="0"/>
          <w:color w:val="auto"/>
          <w:sz w:val="32"/>
          <w:szCs w:val="32"/>
          <w:lang w:val="en-US" w:eastAsia="zh-CN"/>
        </w:rPr>
        <w:t>进行</w:t>
      </w:r>
      <w:r>
        <w:rPr>
          <w:rFonts w:hint="default" w:ascii="Times New Roman" w:hAnsi="Times New Roman" w:eastAsia="仿宋_GB2312" w:cs="Times New Roman"/>
          <w:b w:val="0"/>
          <w:bCs w:val="0"/>
          <w:color w:val="auto"/>
          <w:sz w:val="32"/>
          <w:szCs w:val="32"/>
          <w:lang w:val="en-US" w:eastAsia="zh-CN"/>
        </w:rPr>
        <w:t>升级改造</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color w:val="auto"/>
          <w:highlight w:val="none"/>
        </w:rPr>
        <w:t>项目预算涵盖从</w:t>
      </w:r>
      <w:r>
        <w:rPr>
          <w:rFonts w:hint="default"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default"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16.27</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4"/>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1</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项目预算编制与执行：预算编制依据充分参考</w:t>
      </w:r>
      <w:r>
        <w:rPr>
          <w:rFonts w:hint="eastAsia" w:ascii="Times New Roman" w:hAnsi="Times New Roman" w:eastAsia="仿宋_GB2312" w:cs="Times New Roman"/>
          <w:b w:val="0"/>
          <w:bCs w:val="0"/>
          <w:color w:val="auto"/>
          <w:highlight w:val="none"/>
          <w:lang w:val="en-US" w:eastAsia="zh-CN"/>
        </w:rPr>
        <w:t>其他单位</w:t>
      </w:r>
      <w:r>
        <w:rPr>
          <w:rFonts w:hint="default" w:ascii="Times New Roman" w:hAnsi="Times New Roman" w:eastAsia="仿宋_GB2312" w:cs="Times New Roman"/>
          <w:b w:val="0"/>
          <w:bCs w:val="0"/>
          <w:color w:val="auto"/>
          <w:highlight w:val="none"/>
        </w:rPr>
        <w:t>类似业务的费用支出，结合当前市场行情，综合考虑本次升级改造项目在规模、功能需求等方面的复杂程度。对服务供应商的服务费用，依据其提供的详细报价方案，从人工成本、材料采购成本到设备安装调试费用等进行细致预估，制定合理预算。整体预算编制合理且科学，各项费用明细清晰，如密集架采购费用、防盗门安装费用、指纹锁购置费用等均单独列示。在项目执行过程中，预算执行情况总体良好，实际支出与预算偏差控制在极小范围内，保障了项目的顺利推进。</w:t>
      </w:r>
    </w:p>
    <w:p>
      <w:pPr>
        <w:pStyle w:val="14"/>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2</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资金管理：资金分配严格依照前期制定的项目计划和工作重点进行安排。优先保障关键硬件设施的采购与安装资金，如密集架、防盗门、指纹锁等。资金使用严格遵循单位的财务制度以及与服务供应商签订的项目合同约定。相关费用按照项目实施进度分期支付，每完成一个关键阶段，如密集架安装完成、防盗门安装调试合格、指纹锁验收通过等，均对工作成果进行严格验收，只有验收合格才进行款项支付，确保资金使用与工作质量紧密挂钩。在资金审批流程上，严格遵照本单位内部控制制度，每一笔支出都有详细的记录，从费用申请、审批到支付，各个环节均有明确的责任人，保障资金使用的透明度和合规性，整个项目实施过程中未出现任何资金挪用、浪费等违规现象。</w:t>
      </w:r>
    </w:p>
    <w:p>
      <w:pPr>
        <w:pStyle w:val="14"/>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3</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实施进度与产出：项目严格按照既定计划稳步推进，各阶段任务均按时完成。在项目筹备阶段，提前完成政府采购意向公开和计划申报工作，为后续项目开展争取了时间。在服务供应商选定阶段，严格按照规范流程操作，通过公开招标或竞争性磋商等方式，在规定时间内与资质优良、经验丰富的供应商成功签订合同。在项目实施阶段，供应商按时入驻并全面开展升级改造工作。最终全面完成业务档案室的升级，新安装的密集架数量满足档案存储需求，承载能力符合标准；防盗门安装牢固，防盗性能良好；指纹锁识别精准，使用便捷。改造后的档案室环境得到极大提升，各项设施运行稳定。经内部验收，档案室升级改造工作质量高，完全符合预期标准。供应商出具的项目成果报告内容完整，涵盖了升级改造后的硬件设施详细清单、施工过程记录、质量检测报告等，数据可靠，经单位内部审核，报告质量符合要求，为单位后续档案管理工作提供了有力支持。项目在规定时间内完成，及时为单位打造了更优质的档案管理环境，有助于单位提升档案管理效率，时效性符合预期。</w:t>
      </w:r>
    </w:p>
    <w:p>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kern w:val="28"/>
          <w:sz w:val="32"/>
          <w:szCs w:val="32"/>
          <w:highlight w:val="none"/>
          <w:lang w:val="en-US" w:eastAsia="zh-CN" w:bidi="ar-SA"/>
        </w:rPr>
      </w:pPr>
      <w:r>
        <w:rPr>
          <w:rFonts w:hint="default" w:ascii="Times New Roman" w:hAnsi="Times New Roman" w:eastAsia="仿宋_GB2312" w:cs="Times New Roman"/>
          <w:b w:val="0"/>
          <w:bCs w:val="0"/>
          <w:color w:val="auto"/>
          <w:kern w:val="28"/>
          <w:sz w:val="32"/>
          <w:szCs w:val="32"/>
          <w:highlight w:val="none"/>
          <w:lang w:val="en-US" w:eastAsia="zh-CN" w:bidi="ar-SA"/>
        </w:rPr>
        <w:t>（4）社会、生态等影响：由于本业务档案室升级改造项目主要是行政事业单位内部管理优化工作，对社会和生态环境的直接影响较小。但从间接层面来看，通过提升档案管理水平，能够更高效地为单位各项业务提供服务，进而优化单位内部工作流程，提升单位履行公共服务职能的能力，从长远视角对社会发展具有积极促进作用。在经济方面，改造后的档案室提高了档案存储和检索效率，减少了因档案管理不善可能导致的重复劳动、资源浪费等情况，避免了潜在的成本支出，对单位经济管理产生了积极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w:t>
      </w:r>
      <w:r>
        <w:rPr>
          <w:rFonts w:hint="eastAsia" w:eastAsia="仿宋_GB2312" w:cs="Times New Roman"/>
          <w:color w:val="auto"/>
          <w:spacing w:val="17"/>
          <w:sz w:val="32"/>
          <w:szCs w:val="32"/>
          <w:lang w:val="en-US" w:eastAsia="zh-CN"/>
        </w:rPr>
        <w:t>项目</w:t>
      </w:r>
      <w:r>
        <w:rPr>
          <w:rFonts w:hint="default" w:ascii="Times New Roman" w:hAnsi="Times New Roman" w:eastAsia="仿宋_GB2312" w:cs="Times New Roman"/>
          <w:color w:val="auto"/>
          <w:spacing w:val="17"/>
          <w:sz w:val="32"/>
          <w:szCs w:val="32"/>
          <w:lang w:eastAsia="zh-CN"/>
        </w:rPr>
        <w:t>决策权重为20分，项目过程权重为20分，项目产出权重为40分，项目效益权重为20分</w:t>
      </w:r>
      <w:r>
        <w:rPr>
          <w:rFonts w:hint="default" w:ascii="Times New Roman" w:hAnsi="Times New Roman" w:eastAsia="仿宋_GB2312" w:cs="Times New Roman"/>
          <w:color w:val="auto"/>
          <w:spacing w:val="17"/>
          <w:sz w:val="32"/>
          <w:szCs w:val="32"/>
        </w:rPr>
        <w:t>。</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4"/>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4"/>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auto"/>
          <w:sz w:val="32"/>
          <w:szCs w:val="32"/>
          <w:highlight w:val="none"/>
          <w:lang w:val="en-US" w:eastAsia="zh-CN"/>
        </w:rPr>
        <w:t>因该项</w:t>
      </w:r>
      <w:r>
        <w:rPr>
          <w:rFonts w:hint="default" w:ascii="Times New Roman" w:hAnsi="Times New Roman" w:eastAsia="仿宋_GB2312" w:cs="Times New Roman"/>
          <w:color w:val="auto"/>
          <w:sz w:val="32"/>
          <w:szCs w:val="32"/>
          <w:lang w:val="en-US" w:eastAsia="zh-CN"/>
        </w:rPr>
        <w:t>目的性质和实施特点，该项目绩效评估方法</w:t>
      </w:r>
      <w:r>
        <w:rPr>
          <w:rFonts w:hint="default" w:ascii="Times New Roman" w:hAnsi="Times New Roman" w:eastAsia="仿宋_GB2312" w:cs="Times New Roman"/>
          <w:color w:val="auto"/>
          <w:sz w:val="32"/>
          <w:szCs w:val="32"/>
        </w:rPr>
        <w:t>采用成本效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w:t>
      </w:r>
      <w:r>
        <w:rPr>
          <w:rFonts w:hint="default" w:ascii="Times New Roman" w:hAnsi="Times New Roman" w:eastAsia="仿宋_GB2312" w:cs="Times New Roman"/>
          <w:color w:val="auto"/>
          <w:kern w:val="0"/>
          <w:sz w:val="32"/>
          <w:szCs w:val="32"/>
          <w:u w:val="none" w:color="auto"/>
          <w:lang w:val="en-US" w:eastAsia="zh-CN"/>
        </w:rPr>
        <w:t>通过将项目的预算支出安排与预期效益进行对比，寻求以最小成本获取最大收益的投入方式。</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分析法主要是分析效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的单位成本，即为获得一定的效用而</w:t>
      </w:r>
      <w:r>
        <w:rPr>
          <w:rFonts w:hint="eastAsia" w:eastAsia="仿宋_GB2312" w:cs="Times New Roman"/>
          <w:color w:val="auto"/>
          <w:sz w:val="32"/>
          <w:szCs w:val="32"/>
          <w:lang w:val="en-US" w:eastAsia="zh-CN"/>
        </w:rPr>
        <w:t>必须</w:t>
      </w:r>
      <w:r>
        <w:rPr>
          <w:rFonts w:hint="default" w:ascii="Times New Roman" w:hAnsi="Times New Roman" w:eastAsia="仿宋_GB2312" w:cs="Times New Roman"/>
          <w:color w:val="auto"/>
          <w:sz w:val="32"/>
          <w:szCs w:val="32"/>
        </w:rPr>
        <w:t>耗费的成本，以及节约的成本，即分析净效益。若有功能或效益相同的多项方案，自然应选用单位成本最低者。</w:t>
      </w:r>
    </w:p>
    <w:p>
      <w:pPr>
        <w:pStyle w:val="2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分析有三种情况：</w:t>
      </w:r>
    </w:p>
    <w:p>
      <w:pPr>
        <w:pStyle w:val="2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（1）当成本相同时，应选择效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高的方案；</w:t>
      </w:r>
    </w:p>
    <w:p>
      <w:pPr>
        <w:pStyle w:val="2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相同时，应选择成本低的方案；</w:t>
      </w:r>
    </w:p>
    <w:p>
      <w:pPr>
        <w:pStyle w:val="2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提高而成本加大时，应选择增效的单位追加成本低的方案。</w:t>
      </w:r>
    </w:p>
    <w:p>
      <w:pPr>
        <w:pStyle w:val="25"/>
        <w:wordWrap/>
        <w:adjustRightInd/>
        <w:spacing w:line="560" w:lineRule="exact"/>
        <w:ind w:left="425" w:firstLine="0" w:firstLineChars="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z w:val="32"/>
          <w:szCs w:val="32"/>
          <w:lang w:val="en-US" w:eastAsia="zh-CN"/>
        </w:rPr>
        <w:t xml:space="preserve">     该项目</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w:t>
      </w:r>
      <w:r>
        <w:rPr>
          <w:rFonts w:hint="default" w:ascii="Times New Roman" w:hAnsi="Times New Roman" w:eastAsia="仿宋_GB2312" w:cs="Times New Roman"/>
          <w:color w:val="auto"/>
          <w:sz w:val="32"/>
          <w:szCs w:val="32"/>
          <w:lang w:val="en-US" w:eastAsia="zh-CN"/>
        </w:rPr>
        <w:t>选用第二种方案。</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rPr>
        <w:t>标准。</w:t>
      </w:r>
    </w:p>
    <w:p>
      <w:pPr>
        <w:pStyle w:val="14"/>
        <w:numPr>
          <w:ilvl w:val="0"/>
          <w:numId w:val="1"/>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本项目的综合评价基于对项目各方面绩效的深入分析与评估。从项目目标的达成情况来看，业务档案室升级改造项目在提升档案存储安全性、优化档案存储与管理效率等方面表现出色，达到了预期的标准与要求</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坚固耐用且防火、防潮的防盗门，搭配精准高效的指纹锁，极大地提升了档案室的安全防护等级，有效阻挡外部非法入侵，确保档案资料实体安全。同时，项目也在硬件设施稳定运行取得了显著的成效，如新购置并安装到位的密集架，通过合理规划空间布局，实现了档案存储容量的大幅提升，且密集架的有序排列及便捷操作设计，使得档案的查找、借阅与归还更加高效顺畅。新设施营造出更为规范、安全的档案存储环境，促使档案管理流程进一步优化，管理效率得到明显提高，为我局业务工作的开展提供了有力的档案支持，推动了整体工作效能的提升。</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塔城地区无线电管理中心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从项目效益的角度来看，本项目</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预期的社会效益方面产生了积极的影响。具体而言，新设施营造出更为规范、安全的档案存储环境，促使档案管理流程进一步优化，管理效率得到明显提高，为我局业务工作的开展提供了有力的档案支持，推动了整体工作效能的提升。</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综上所述，业务档案室升级改造项目在绩效评价中表现出色，达到了项目的预期目标，并在多个方面取得了显著的成效。</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color w:val="auto"/>
          <w:highlight w:val="none"/>
        </w:rPr>
        <w:t>结果：总得分为</w:t>
      </w:r>
      <w:r>
        <w:rPr>
          <w:rFonts w:hint="default"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default" w:ascii="Times New Roman" w:hAnsi="Times New Roman" w:eastAsia="仿宋_GB2312" w:cs="Times New Roman"/>
          <w:b w:val="0"/>
          <w:bCs w:val="0"/>
          <w:color w:val="auto"/>
          <w:highlight w:val="none"/>
          <w:lang w:val="en-US" w:eastAsia="zh-CN"/>
        </w:rPr>
        <w:t>15</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75</w:t>
      </w:r>
      <w:r>
        <w:rPr>
          <w:rFonts w:hint="default" w:ascii="Times New Roman" w:hAnsi="Times New Roman" w:eastAsia="仿宋_GB2312" w:cs="Times New Roman"/>
          <w:b w:val="0"/>
          <w:bCs w:val="0"/>
          <w:color w:val="auto"/>
          <w:highlight w:val="none"/>
        </w:rPr>
        <w:t>%。项目产出类指标权重为40分，得分为</w:t>
      </w:r>
      <w:r>
        <w:rPr>
          <w:rFonts w:hint="default"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w:t>
      </w:r>
      <w:r>
        <w:rPr>
          <w:rFonts w:hint="eastAsia"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val="en-US" w:eastAsia="zh-CN"/>
        </w:rPr>
        <w:t>0</w:t>
      </w:r>
      <w:r>
        <w:rPr>
          <w:rFonts w:hint="default"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pPr>
        <w:pStyle w:val="14"/>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18"/>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15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95</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4"/>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项目决策类指标包括项目立项、绩效目标和资金投入三方面的内容，权重分值为20分，实际得分20分，得分率为100%。</w:t>
      </w: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4"/>
        <w:numPr>
          <w:ilvl w:val="0"/>
          <w:numId w:val="3"/>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w:t>
      </w:r>
      <w:r>
        <w:rPr>
          <w:rFonts w:hint="default" w:ascii="Times New Roman" w:hAnsi="Times New Roman" w:eastAsia="仿宋_GB2312" w:cs="Times New Roman"/>
          <w:color w:val="auto"/>
          <w:sz w:val="32"/>
          <w:szCs w:val="32"/>
          <w:highlight w:val="none"/>
          <w:lang w:val="en-US" w:eastAsia="zh-CN"/>
        </w:rPr>
        <w:t>权重分值为20分，实际得分15分，得分率为75%。</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其他</w:t>
      </w:r>
      <w:r>
        <w:rPr>
          <w:rFonts w:hint="default" w:ascii="Times New Roman" w:hAnsi="Times New Roman" w:eastAsia="仿宋_GB2312" w:cs="Times New Roman"/>
          <w:sz w:val="32"/>
          <w:szCs w:val="32"/>
          <w:highlight w:val="none"/>
          <w:lang w:val="en-US" w:eastAsia="zh-CN"/>
        </w:rPr>
        <w:t>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16.27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90.39</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6"/>
        <w:numPr>
          <w:ilvl w:val="0"/>
          <w:numId w:val="3"/>
        </w:numPr>
        <w:spacing w:line="560" w:lineRule="exact"/>
        <w:ind w:firstLine="643"/>
        <w:rPr>
          <w:rFonts w:hint="default" w:ascii="Times New Roman" w:hAnsi="Times New Roman" w:eastAsia="楷体_GB2312" w:cs="Times New Roman"/>
          <w:b/>
          <w:bCs/>
          <w:sz w:val="32"/>
          <w:szCs w:val="32"/>
        </w:rPr>
      </w:pPr>
      <w:r>
        <w:rPr>
          <w:rFonts w:hint="eastAsia" w:eastAsia="楷体_GB2312" w:cs="Times New Roman"/>
          <w:b/>
          <w:bCs/>
          <w:sz w:val="32"/>
          <w:szCs w:val="32"/>
          <w:lang w:val="en-US" w:eastAsia="zh-CN"/>
        </w:rPr>
        <w:t>项目产出情况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项目产出类指标包括产出数量、产出质量、产出时效、产出成本四方面的内容</w:t>
      </w:r>
      <w:r>
        <w:rPr>
          <w:rFonts w:hint="default"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个三级指标构成，权重分为40分，实际得分40分，得分率为100%。具体</w:t>
      </w:r>
      <w:r>
        <w:rPr>
          <w:rFonts w:hint="default" w:ascii="Times New Roman" w:hAnsi="Times New Roman" w:eastAsia="仿宋_GB2312" w:cs="Times New Roman"/>
          <w:color w:val="auto"/>
          <w:sz w:val="32"/>
          <w:szCs w:val="32"/>
          <w:lang w:val="en-US" w:eastAsia="zh-CN"/>
        </w:rPr>
        <w:t>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密集架</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15列</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15列</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防盗门</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扇</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扇</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指纹锁</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升级改造项目数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设备验收合格率，</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9</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升级改造项目验收合格率，</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r>
        <w:rPr>
          <w:rFonts w:hint="default" w:ascii="Times New Roman" w:hAnsi="Times New Roman" w:eastAsia="仿宋_GB2312" w:cs="Times New Roman"/>
          <w:color w:val="auto"/>
          <w:sz w:val="32"/>
          <w:szCs w:val="32"/>
          <w:highlight w:val="none"/>
          <w:lang w:val="en-US" w:eastAsia="zh-CN"/>
        </w:rPr>
        <w:t>设备采购完成及时性，</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r>
        <w:rPr>
          <w:rFonts w:hint="default" w:ascii="Times New Roman" w:hAnsi="Times New Roman" w:eastAsia="仿宋_GB2312" w:cs="Times New Roman"/>
          <w:color w:val="auto"/>
          <w:sz w:val="32"/>
          <w:szCs w:val="32"/>
          <w:highlight w:val="none"/>
          <w:lang w:val="en-US" w:eastAsia="zh-CN"/>
        </w:rPr>
        <w:t>预算成本控制率，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90.39%</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90.39%</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w:t>
      </w:r>
      <w:r>
        <w:rPr>
          <w:rFonts w:hint="eastAsia" w:ascii="仿宋_GB2312" w:hAnsi="仿宋_GB2312" w:eastAsia="仿宋_GB2312" w:cs="仿宋_GB2312"/>
          <w:b w:val="0"/>
          <w:bCs w:val="0"/>
          <w:sz w:val="32"/>
          <w:szCs w:val="32"/>
          <w:highlight w:val="none"/>
          <w:lang w:val="en-US" w:eastAsia="zh-CN"/>
        </w:rPr>
        <w:t>本项目严格贯彻“厉行节约、提质增效”原则</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在保障档案室功能达标的前提下“非必要不支出”节约项目资金1.71万元，故项目执行金额与预算金额有部分偏差</w:t>
      </w:r>
      <w:r>
        <w:rPr>
          <w:rFonts w:hint="default" w:ascii="Times New Roman" w:hAnsi="Times New Roman" w:eastAsia="仿宋_GB2312" w:cs="Times New Roman"/>
          <w:color w:val="auto"/>
          <w:sz w:val="32"/>
          <w:szCs w:val="32"/>
          <w:highlight w:val="none"/>
          <w:lang w:val="en-US" w:eastAsia="zh-CN"/>
        </w:rPr>
        <w:t>。</w:t>
      </w:r>
    </w:p>
    <w:p>
      <w:pPr>
        <w:pStyle w:val="6"/>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项目效益类指标包括项目实施效益和满意度两方面的内容，由1个三级指标构成，权重分为20分，实际得分20分，得分率为100%。具体效益指</w:t>
      </w:r>
      <w:r>
        <w:rPr>
          <w:rFonts w:hint="default" w:ascii="Times New Roman" w:hAnsi="Times New Roman" w:eastAsia="仿宋_GB2312" w:cs="Times New Roman"/>
          <w:color w:val="auto"/>
          <w:sz w:val="32"/>
          <w:szCs w:val="32"/>
          <w:lang w:val="en-US" w:eastAsia="zh-CN"/>
        </w:rPr>
        <w:t>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①经济效益指标：保障</w:t>
      </w:r>
      <w:r>
        <w:rPr>
          <w:rFonts w:hint="eastAsia" w:eastAsia="仿宋_GB2312" w:cs="Times New Roman"/>
          <w:color w:val="auto"/>
          <w:sz w:val="32"/>
          <w:szCs w:val="32"/>
          <w:highlight w:val="none"/>
          <w:lang w:val="en-US" w:eastAsia="zh-CN"/>
        </w:rPr>
        <w:t>业务档案室</w:t>
      </w:r>
      <w:r>
        <w:rPr>
          <w:rFonts w:hint="default" w:ascii="Times New Roman" w:hAnsi="Times New Roman" w:eastAsia="仿宋_GB2312" w:cs="Times New Roman"/>
          <w:color w:val="auto"/>
          <w:sz w:val="32"/>
          <w:szCs w:val="32"/>
          <w:highlight w:val="none"/>
          <w:lang w:val="en-US" w:eastAsia="zh-CN"/>
        </w:rPr>
        <w:t>正常运转，提高业务质量，</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有效保障</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pPr>
        <w:pStyle w:val="20"/>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业务档案室升级改造</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18</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18</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16.27</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90.39</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项目绩效指标总体完成率为98.93%</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lang w:val="en-US" w:eastAsia="zh-CN"/>
        </w:rPr>
        <w:t>偏差率为1.07%</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是本项目严格贯彻“厉行节约、提质增效”原则</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在保障档案室功能达标的前提下“非必要不支出”节约项目资金1.71万元，故项目执行金额与预算金额有部分偏差，</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val="en-US" w:eastAsia="zh-CN"/>
        </w:rPr>
        <w:t>在后续项目预算编制时，充分考量 “厉行节约、提质增效” 原则，提前精准预估各项支出，将节约资金的目标融入预算明细规划，提高预算编制的准确性与前瞻性。执行过程中，定期复盘预算执行情况，对因节约产生的资金结余，及时调整预算分配，将其合理投入到档案管理的其他必要环节，如购置档案数字化辅助设备，提升档案管理信息化水平，既保障档案室功能持续优化，又确保预算执行与实际需求紧密契合，最大程度减少执行金额与预算金额的偏差</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2.因岗位调整，轮换频繁，绩效工作人员交接不充分，导致历史数据掌握不全，阶段性任务落实脱节，影响整体工作推进效率。</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3.绩效结果运用的制度保障和激励机制缺失，未</w:t>
      </w:r>
      <w:r>
        <w:rPr>
          <w:rFonts w:hint="eastAsia" w:eastAsia="仿宋_GB2312" w:cs="Times New Roman"/>
          <w:color w:val="auto"/>
          <w:sz w:val="32"/>
          <w:szCs w:val="32"/>
          <w:highlight w:val="none"/>
          <w:lang w:val="en-US" w:eastAsia="zh-CN"/>
        </w:rPr>
        <w:t>将</w:t>
      </w:r>
      <w:r>
        <w:rPr>
          <w:rFonts w:hint="eastAsia" w:ascii="Times New Roman" w:hAnsi="Times New Roman" w:eastAsia="仿宋_GB2312" w:cs="Times New Roman"/>
          <w:color w:val="auto"/>
          <w:sz w:val="32"/>
          <w:szCs w:val="32"/>
          <w:highlight w:val="none"/>
          <w:lang w:val="en-US" w:eastAsia="zh-CN"/>
        </w:rPr>
        <w:t>评价结果有效纳入考核体系；部门间协同整改的职责划分不清晰，缺乏跟踪督办机制。绩效评价结果与后续预算安排、项目管理优化关联度较低，部分问题整改落实不到位，存在“重评价、轻应用”现象。</w:t>
      </w:r>
    </w:p>
    <w:p>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有关建议</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项目决策的建议：1.专门设定对绩效工作人员定职、定岗、定责等相关制度措施，进一步提升我单位绩效管理工作业务水平，扎实做好绩效管理工作。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预算安排与执行的建议:建议深化预算绩效一体化管理，将绩效目标设定与预算编制紧密结合，优化资金分配结构。通过定期组织绩效管理培训，提升业务人员专业能力；建立绩效岗位责任清单，明确职责分工，确保绩效目标全程跟踪。执行过程中需要严格对照预算进度，动态监控资金使用合规性，对偏离绩效目标的情况及时预警并调整，落实“花钱必问效”要求。</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资金管理的建议：1.建立健全资金全流程监管机制，强化财政制度刚性约束。2.项目启动后需同步完善财务资料归档，按节点收集并审核支出凭证、合同等资料，确保数据真实可追溯。3.定期开展资金使用合规性自查，重点核查超预算支出、挪用资金等风险点。4.对重大项目资金支出，实行“事前评估-事中跟踪-事后复盘”全流程管理。</w:t>
      </w:r>
    </w:p>
    <w:p>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管理的建议：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1"/>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业务档案室升级改造项目</w:t>
      </w:r>
      <w:r>
        <w:rPr>
          <w:rFonts w:hint="eastAsia" w:ascii="仿宋_GB2312" w:hAnsi="仿宋_GB2312" w:eastAsia="仿宋_GB2312" w:cs="仿宋_GB2312"/>
          <w:b/>
          <w:bCs/>
          <w:sz w:val="28"/>
          <w:szCs w:val="40"/>
          <w:highlight w:val="none"/>
        </w:rPr>
        <w:t>绩效评价指标体系及综合</w:t>
      </w:r>
      <w:r>
        <w:rPr>
          <w:rFonts w:hint="eastAsia" w:ascii="仿宋_GB2312" w:hAnsi="仿宋_GB2312" w:eastAsia="仿宋_GB2312" w:cs="仿宋_GB2312"/>
          <w:b/>
          <w:bCs/>
          <w:sz w:val="28"/>
          <w:szCs w:val="40"/>
        </w:rPr>
        <w:t>评分表</w:t>
      </w:r>
      <w:bookmarkEnd w:id="1"/>
      <w:bookmarkEnd w:id="2"/>
    </w:p>
    <w:tbl>
      <w:tblPr>
        <w:tblStyle w:val="18"/>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tbl>
      <w:tblPr>
        <w:tblStyle w:val="18"/>
        <w:tblW w:w="13978" w:type="dxa"/>
        <w:tblInd w:w="0" w:type="dxa"/>
        <w:shd w:val="clear" w:color="auto" w:fill="auto"/>
        <w:tblLayout w:type="fixed"/>
        <w:tblCellMar>
          <w:top w:w="0" w:type="dxa"/>
          <w:left w:w="0" w:type="dxa"/>
          <w:bottom w:w="0" w:type="dxa"/>
          <w:right w:w="0" w:type="dxa"/>
        </w:tblCellMar>
      </w:tblPr>
      <w:tblGrid>
        <w:gridCol w:w="885"/>
        <w:gridCol w:w="886"/>
        <w:gridCol w:w="921"/>
        <w:gridCol w:w="921"/>
        <w:gridCol w:w="921"/>
        <w:gridCol w:w="921"/>
        <w:gridCol w:w="920"/>
        <w:gridCol w:w="1085"/>
        <w:gridCol w:w="1087"/>
        <w:gridCol w:w="1086"/>
        <w:gridCol w:w="1086"/>
        <w:gridCol w:w="1086"/>
        <w:gridCol w:w="1086"/>
        <w:gridCol w:w="1087"/>
      </w:tblGrid>
      <w:tr>
        <w:tblPrEx>
          <w:tblLayout w:type="fixed"/>
          <w:tblCellMar>
            <w:top w:w="0" w:type="dxa"/>
            <w:left w:w="0" w:type="dxa"/>
            <w:bottom w:w="0" w:type="dxa"/>
            <w:right w:w="0" w:type="dxa"/>
          </w:tblCellMar>
        </w:tblPrEx>
        <w:trPr>
          <w:trHeight w:val="420" w:hRule="atLeast"/>
        </w:trPr>
        <w:tc>
          <w:tcPr>
            <w:tcW w:w="13978" w:type="dxa"/>
            <w:gridSpan w:val="14"/>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380" w:hRule="atLeast"/>
        </w:trPr>
        <w:tc>
          <w:tcPr>
            <w:tcW w:w="13978" w:type="dxa"/>
            <w:gridSpan w:val="1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tblPrEx>
          <w:tblLayout w:type="fixed"/>
          <w:tblCellMar>
            <w:top w:w="0" w:type="dxa"/>
            <w:left w:w="0" w:type="dxa"/>
            <w:bottom w:w="0" w:type="dxa"/>
            <w:right w:w="0" w:type="dxa"/>
          </w:tblCellMar>
        </w:tblPrEx>
        <w:trPr>
          <w:trHeight w:val="380" w:hRule="atLeast"/>
        </w:trPr>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2207" w:type="dxa"/>
            <w:gridSpan w:val="1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业务档案室升级改造项目</w:t>
            </w:r>
          </w:p>
        </w:tc>
      </w:tr>
      <w:tr>
        <w:tblPrEx>
          <w:tblLayout w:type="fixed"/>
          <w:tblCellMar>
            <w:top w:w="0" w:type="dxa"/>
            <w:left w:w="0" w:type="dxa"/>
            <w:bottom w:w="0" w:type="dxa"/>
            <w:right w:w="0" w:type="dxa"/>
          </w:tblCellMar>
        </w:tblPrEx>
        <w:trPr>
          <w:trHeight w:val="380" w:hRule="atLeast"/>
        </w:trPr>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460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自治区工业和信息化厅</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5431"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塔城地区无线电管理局</w:t>
            </w:r>
          </w:p>
        </w:tc>
      </w:tr>
      <w:tr>
        <w:tblPrEx>
          <w:tblLayout w:type="fixed"/>
          <w:tblCellMar>
            <w:top w:w="0" w:type="dxa"/>
            <w:left w:w="0" w:type="dxa"/>
            <w:bottom w:w="0" w:type="dxa"/>
            <w:right w:w="0" w:type="dxa"/>
          </w:tblCellMar>
        </w:tblPrEx>
        <w:trPr>
          <w:trHeight w:val="380" w:hRule="atLeast"/>
        </w:trPr>
        <w:tc>
          <w:tcPr>
            <w:tcW w:w="17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分值</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tblPrEx>
          <w:tblLayout w:type="fixed"/>
          <w:tblCellMar>
            <w:top w:w="0" w:type="dxa"/>
            <w:left w:w="0" w:type="dxa"/>
            <w:bottom w:w="0" w:type="dxa"/>
            <w:right w:w="0" w:type="dxa"/>
          </w:tblCellMar>
        </w:tblPrEx>
        <w:trPr>
          <w:trHeight w:val="380" w:hRule="atLeast"/>
        </w:trPr>
        <w:tc>
          <w:tcPr>
            <w:tcW w:w="17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16.27</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9.04</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90.39%</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9.04</w:t>
            </w:r>
          </w:p>
        </w:tc>
      </w:tr>
      <w:tr>
        <w:tblPrEx>
          <w:tblLayout w:type="fixed"/>
          <w:tblCellMar>
            <w:top w:w="0" w:type="dxa"/>
            <w:left w:w="0" w:type="dxa"/>
            <w:bottom w:w="0" w:type="dxa"/>
            <w:right w:w="0" w:type="dxa"/>
          </w:tblCellMar>
        </w:tblPrEx>
        <w:trPr>
          <w:trHeight w:val="380" w:hRule="atLeast"/>
        </w:trPr>
        <w:tc>
          <w:tcPr>
            <w:tcW w:w="17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380" w:hRule="atLeast"/>
        </w:trPr>
        <w:tc>
          <w:tcPr>
            <w:tcW w:w="17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84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18.00</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16.27</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Layout w:type="fixed"/>
          <w:tblCellMar>
            <w:top w:w="0" w:type="dxa"/>
            <w:left w:w="0" w:type="dxa"/>
            <w:bottom w:w="0" w:type="dxa"/>
            <w:right w:w="0" w:type="dxa"/>
          </w:tblCellMar>
        </w:tblPrEx>
        <w:trPr>
          <w:trHeight w:val="380"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5490"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7603"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70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5490"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无线电管理局业务楼建设于2005年，建设年限较长，现有档案资料室已无法满足日益增长的业务需求。为加强无线电管理档案资料科学、系统、规范化管理，有效保护和利用各类档案资料，为无线电业务、技术工作开展夯实基础，推动无线电管理工作再上新台阶，现需申请对业务楼档案资料室进行升级改造。改造项目包括：密集架、硬件改造、电路改造等其他改造费用。</w:t>
            </w:r>
          </w:p>
        </w:tc>
        <w:tc>
          <w:tcPr>
            <w:tcW w:w="7603"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已完成了我局业务档案室的升级改造，相关配套设施已购置，防盗门、指纹锁、密集架均已达到可使用状态，有效加强我局无线电档案资料科学、系统、规范化管理，有效保护和利用各类档案资料，为无线电业务、技术工作开展夯实基础，推动无线电管理工作再上新台阶。</w:t>
            </w:r>
          </w:p>
        </w:tc>
      </w:tr>
      <w:tr>
        <w:tblPrEx>
          <w:tblLayout w:type="fixed"/>
          <w:tblCellMar>
            <w:top w:w="0" w:type="dxa"/>
            <w:left w:w="0" w:type="dxa"/>
            <w:bottom w:w="0" w:type="dxa"/>
            <w:right w:w="0" w:type="dxa"/>
          </w:tblCellMar>
        </w:tblPrEx>
        <w:trPr>
          <w:trHeight w:val="280"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10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tblPrEx>
          <w:tblLayout w:type="fixed"/>
          <w:tblCellMar>
            <w:top w:w="0" w:type="dxa"/>
            <w:left w:w="0" w:type="dxa"/>
            <w:bottom w:w="0" w:type="dxa"/>
            <w:right w:w="0" w:type="dxa"/>
          </w:tblCellMar>
        </w:tblPrEx>
        <w:trPr>
          <w:trHeight w:val="2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9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密集架</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=15列</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=15列</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防盗门</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指纹锁</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升级改造项目数</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&gt;=1个</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=1个</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设备验收合格率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升级改造项目验收合格率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设备采购完成及时性</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&gt;=95%</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预算成本控制率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&lt;=100%</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=90.39%</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90.39</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15.2</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本项目严格贯彻“厉行节约、提质增效”原则，在保障档案室功能达标的前提下“非必要不支出”，节约项目资金1.7万元，故项目执行金额与预算金额有部分偏差。</w:t>
            </w: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保障B控中心正常运转，提高业务质量</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有效保证</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有效保证</w:t>
            </w: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按评判等级赋分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说明材料</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18"/>
                <w:szCs w:val="18"/>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r>
      <w:tr>
        <w:tblPrEx>
          <w:tblLayout w:type="fixed"/>
          <w:tblCellMar>
            <w:top w:w="0" w:type="dxa"/>
            <w:left w:w="0" w:type="dxa"/>
            <w:bottom w:w="0" w:type="dxa"/>
            <w:right w:w="0" w:type="dxa"/>
          </w:tblCellMar>
        </w:tblPrEx>
        <w:trPr>
          <w:trHeight w:val="380" w:hRule="atLeast"/>
        </w:trPr>
        <w:tc>
          <w:tcPr>
            <w:tcW w:w="3613" w:type="dxa"/>
            <w:gridSpan w:val="4"/>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92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21"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b/>
                <w:i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94.24分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0"/>
          <w:jc w:val="center"/>
        </w:pPr>
        <w:r>
          <w:fldChar w:fldCharType="begin"/>
        </w:r>
        <w:r>
          <w:instrText xml:space="preserve">PAGE   \* MERGEFORMAT</w:instrText>
        </w:r>
        <w:r>
          <w:fldChar w:fldCharType="separate"/>
        </w:r>
        <w:r>
          <w:rPr>
            <w:lang w:val="zh-CN"/>
          </w:rPr>
          <w:t>13</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172A27"/>
    <w:rsid w:val="006F7242"/>
    <w:rsid w:val="007B168A"/>
    <w:rsid w:val="008B2CFE"/>
    <w:rsid w:val="00F26FF6"/>
    <w:rsid w:val="01610122"/>
    <w:rsid w:val="02510197"/>
    <w:rsid w:val="03EC461B"/>
    <w:rsid w:val="07397B77"/>
    <w:rsid w:val="0AD007F3"/>
    <w:rsid w:val="0DDC0BB4"/>
    <w:rsid w:val="0E3C619F"/>
    <w:rsid w:val="0E8D016E"/>
    <w:rsid w:val="11170296"/>
    <w:rsid w:val="13471461"/>
    <w:rsid w:val="13B90F01"/>
    <w:rsid w:val="155E4C4D"/>
    <w:rsid w:val="165D0A09"/>
    <w:rsid w:val="17462648"/>
    <w:rsid w:val="181066D2"/>
    <w:rsid w:val="1C671E73"/>
    <w:rsid w:val="1D1125A5"/>
    <w:rsid w:val="1D322C47"/>
    <w:rsid w:val="23616034"/>
    <w:rsid w:val="23D4607E"/>
    <w:rsid w:val="24480FA2"/>
    <w:rsid w:val="25227A45"/>
    <w:rsid w:val="26AC3A6A"/>
    <w:rsid w:val="281178FD"/>
    <w:rsid w:val="2B9D7E25"/>
    <w:rsid w:val="2C7C7A3B"/>
    <w:rsid w:val="2EFC0D68"/>
    <w:rsid w:val="2F364819"/>
    <w:rsid w:val="2FD63906"/>
    <w:rsid w:val="37215DAE"/>
    <w:rsid w:val="38CA40DD"/>
    <w:rsid w:val="395F2B56"/>
    <w:rsid w:val="3BBA0580"/>
    <w:rsid w:val="3BECE841"/>
    <w:rsid w:val="3CDE204C"/>
    <w:rsid w:val="3D363C36"/>
    <w:rsid w:val="3E9C3F6D"/>
    <w:rsid w:val="3FF51B52"/>
    <w:rsid w:val="3FF7797D"/>
    <w:rsid w:val="46690BD8"/>
    <w:rsid w:val="49F70BF1"/>
    <w:rsid w:val="4B4340EE"/>
    <w:rsid w:val="4BF06537"/>
    <w:rsid w:val="4DA30D17"/>
    <w:rsid w:val="503D507A"/>
    <w:rsid w:val="51FA74D0"/>
    <w:rsid w:val="52AA4A52"/>
    <w:rsid w:val="59943D66"/>
    <w:rsid w:val="59E051FD"/>
    <w:rsid w:val="59E6355E"/>
    <w:rsid w:val="5B821531"/>
    <w:rsid w:val="5BFF6039"/>
    <w:rsid w:val="5C052AE0"/>
    <w:rsid w:val="5CFF00D4"/>
    <w:rsid w:val="5D76A616"/>
    <w:rsid w:val="5D7F20B9"/>
    <w:rsid w:val="5DAC7D0E"/>
    <w:rsid w:val="5F98B5AF"/>
    <w:rsid w:val="5FFE8511"/>
    <w:rsid w:val="5FFEACE2"/>
    <w:rsid w:val="602120A8"/>
    <w:rsid w:val="609D5BF6"/>
    <w:rsid w:val="61073070"/>
    <w:rsid w:val="61B9080E"/>
    <w:rsid w:val="61DF3FED"/>
    <w:rsid w:val="642B176B"/>
    <w:rsid w:val="643EE26D"/>
    <w:rsid w:val="656019A0"/>
    <w:rsid w:val="65F242EE"/>
    <w:rsid w:val="666D7E19"/>
    <w:rsid w:val="68376930"/>
    <w:rsid w:val="68F91E38"/>
    <w:rsid w:val="69767E03"/>
    <w:rsid w:val="69CD2BEB"/>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next w:val="1"/>
    <w:qFormat/>
    <w:uiPriority w:val="99"/>
    <w:pPr>
      <w:widowControl w:val="0"/>
      <w:jc w:val="both"/>
    </w:pPr>
    <w:rPr>
      <w:rFonts w:ascii="Calibri" w:hAnsi="Calibri" w:eastAsia="宋体" w:cs="Times New Roman"/>
      <w:kern w:val="2"/>
      <w:sz w:val="21"/>
      <w:szCs w:val="21"/>
      <w:lang w:val="en-US" w:eastAsia="zh-CN" w:bidi="ar-SA"/>
    </w:rPr>
  </w:style>
  <w:style w:type="paragraph" w:styleId="4">
    <w:name w:val="annotation subject"/>
    <w:basedOn w:val="5"/>
    <w:next w:val="5"/>
    <w:link w:val="24"/>
    <w:qFormat/>
    <w:uiPriority w:val="0"/>
    <w:rPr>
      <w:b/>
      <w:bCs/>
    </w:rPr>
  </w:style>
  <w:style w:type="paragraph" w:styleId="5">
    <w:name w:val="annotation text"/>
    <w:basedOn w:val="1"/>
    <w:link w:val="23"/>
    <w:qFormat/>
    <w:uiPriority w:val="0"/>
    <w:pPr>
      <w:jc w:val="left"/>
    </w:pPr>
  </w:style>
  <w:style w:type="paragraph" w:styleId="6">
    <w:name w:val="Body Text First Indent"/>
    <w:basedOn w:val="7"/>
    <w:qFormat/>
    <w:uiPriority w:val="0"/>
    <w:pPr>
      <w:spacing w:after="0"/>
      <w:ind w:firstLine="200" w:firstLineChars="200"/>
    </w:p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rPr>
      <w:rFonts w:ascii="Calibri" w:hAnsi="Calibri"/>
    </w:rPr>
  </w:style>
  <w:style w:type="paragraph" w:styleId="9">
    <w:name w:val="Balloon Text"/>
    <w:basedOn w:val="1"/>
    <w:link w:val="21"/>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1">
    <w:name w:val="Body Text First Indent 2"/>
    <w:basedOn w:val="8"/>
    <w:qFormat/>
    <w:uiPriority w:val="0"/>
    <w:pPr>
      <w:ind w:firstLine="420" w:firstLineChars="200"/>
    </w:pPr>
  </w:style>
  <w:style w:type="paragraph" w:styleId="1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9"/>
    <w:qFormat/>
    <w:uiPriority w:val="0"/>
    <w:rPr>
      <w:rFonts w:ascii="Times New Roman" w:hAnsi="Times New Roman" w:eastAsia="宋体" w:cs="Times New Roman"/>
      <w:kern w:val="2"/>
      <w:sz w:val="18"/>
      <w:szCs w:val="18"/>
    </w:rPr>
  </w:style>
  <w:style w:type="character" w:customStyle="1" w:styleId="22">
    <w:name w:val="页眉 字符"/>
    <w:basedOn w:val="15"/>
    <w:link w:val="12"/>
    <w:qFormat/>
    <w:uiPriority w:val="0"/>
    <w:rPr>
      <w:rFonts w:ascii="Times New Roman" w:hAnsi="Times New Roman" w:eastAsia="宋体" w:cs="Times New Roman"/>
      <w:kern w:val="2"/>
      <w:sz w:val="18"/>
      <w:szCs w:val="18"/>
    </w:rPr>
  </w:style>
  <w:style w:type="character" w:customStyle="1" w:styleId="23">
    <w:name w:val="批注文字 字符"/>
    <w:basedOn w:val="15"/>
    <w:link w:val="5"/>
    <w:qFormat/>
    <w:uiPriority w:val="0"/>
    <w:rPr>
      <w:rFonts w:ascii="Times New Roman" w:hAnsi="Times New Roman" w:eastAsia="宋体" w:cs="Times New Roman"/>
      <w:kern w:val="2"/>
      <w:sz w:val="21"/>
      <w:szCs w:val="24"/>
    </w:rPr>
  </w:style>
  <w:style w:type="character" w:customStyle="1" w:styleId="24">
    <w:name w:val="批注主题 字符"/>
    <w:basedOn w:val="23"/>
    <w:link w:val="4"/>
    <w:qFormat/>
    <w:uiPriority w:val="0"/>
    <w:rPr>
      <w:rFonts w:ascii="Times New Roman" w:hAnsi="Times New Roman" w:eastAsia="宋体" w:cs="Times New Roman"/>
      <w:b/>
      <w:bCs/>
      <w:kern w:val="2"/>
      <w:sz w:val="21"/>
      <w:szCs w:val="24"/>
    </w:rPr>
  </w:style>
  <w:style w:type="paragraph" w:customStyle="1" w:styleId="2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84</Words>
  <Characters>104</Characters>
  <Lines>58</Lines>
  <Paragraphs>16</Paragraphs>
  <TotalTime>7</TotalTime>
  <ScaleCrop>false</ScaleCrop>
  <LinksUpToDate>false</LinksUpToDate>
  <CharactersWithSpaces>104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cp:lastModifiedBy>
  <dcterms:modified xsi:type="dcterms:W3CDTF">2025-08-27T05:49:09Z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